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968" w:rsidRDefault="00644968" w:rsidP="00644968">
      <w:pPr>
        <w:spacing w:line="440" w:lineRule="exact"/>
        <w:ind w:firstLine="420"/>
        <w:rPr>
          <w:rFonts w:ascii="仿宋" w:eastAsia="仿宋" w:hAnsi="仿宋" w:cs="仿宋" w:hint="eastAsia"/>
          <w:b/>
          <w:bCs/>
          <w:sz w:val="24"/>
        </w:rPr>
      </w:pPr>
      <w:r>
        <w:rPr>
          <w:rFonts w:ascii="仿宋" w:eastAsia="仿宋" w:hAnsi="仿宋" w:cs="仿宋" w:hint="eastAsia"/>
          <w:b/>
          <w:bCs/>
          <w:sz w:val="24"/>
        </w:rPr>
        <w:t>附件：</w:t>
      </w:r>
    </w:p>
    <w:p w:rsidR="00644968" w:rsidRDefault="00644968" w:rsidP="00644968">
      <w:pPr>
        <w:spacing w:beforeLines="100" w:before="312" w:afterLines="100" w:after="312"/>
        <w:jc w:val="center"/>
        <w:rPr>
          <w:rFonts w:ascii="微软雅黑" w:eastAsia="微软雅黑" w:hAnsi="微软雅黑" w:cs="微软雅黑" w:hint="eastAsia"/>
          <w:b/>
          <w:bCs/>
          <w:sz w:val="32"/>
          <w:szCs w:val="32"/>
        </w:rPr>
      </w:pPr>
      <w:bookmarkStart w:id="0" w:name="_GoBack"/>
      <w:r>
        <w:rPr>
          <w:rFonts w:ascii="微软雅黑" w:eastAsia="微软雅黑" w:hAnsi="微软雅黑" w:cs="微软雅黑" w:hint="eastAsia"/>
          <w:b/>
          <w:bCs/>
          <w:sz w:val="32"/>
          <w:szCs w:val="32"/>
        </w:rPr>
        <w:t>全年一次性奖金计税方法及税率表</w:t>
      </w:r>
    </w:p>
    <w:bookmarkEnd w:id="0"/>
    <w:p w:rsidR="00644968" w:rsidRDefault="00644968" w:rsidP="00644968">
      <w:pPr>
        <w:spacing w:line="440" w:lineRule="exact"/>
        <w:ind w:firstLine="420"/>
        <w:rPr>
          <w:rFonts w:hint="eastAsia"/>
          <w:sz w:val="24"/>
        </w:rPr>
      </w:pPr>
      <w:r>
        <w:rPr>
          <w:rFonts w:hint="eastAsia"/>
          <w:sz w:val="24"/>
        </w:rPr>
        <w:t>根据财政部、税务总局《关于个人所得税法修改后有关优惠政策衔接问题的通知》（财税〔</w:t>
      </w:r>
      <w:r>
        <w:rPr>
          <w:rFonts w:hint="eastAsia"/>
          <w:sz w:val="24"/>
        </w:rPr>
        <w:t>2018</w:t>
      </w:r>
      <w:r>
        <w:rPr>
          <w:rFonts w:hint="eastAsia"/>
          <w:sz w:val="24"/>
        </w:rPr>
        <w:t>〕</w:t>
      </w:r>
      <w:r>
        <w:rPr>
          <w:rFonts w:hint="eastAsia"/>
          <w:sz w:val="24"/>
        </w:rPr>
        <w:t>164</w:t>
      </w:r>
      <w:r>
        <w:rPr>
          <w:rFonts w:hint="eastAsia"/>
          <w:sz w:val="24"/>
        </w:rPr>
        <w:t>号）相关规定，居民个人取得全年一次性奖金，符合《国家税务总局关于调整个人取得全年一次性奖金等计算征收个人所得税方法问题的通知》（国税发〔</w:t>
      </w:r>
      <w:r>
        <w:rPr>
          <w:rFonts w:hint="eastAsia"/>
          <w:sz w:val="24"/>
        </w:rPr>
        <w:t>2005</w:t>
      </w:r>
      <w:r>
        <w:rPr>
          <w:rFonts w:hint="eastAsia"/>
          <w:sz w:val="24"/>
        </w:rPr>
        <w:t>〕</w:t>
      </w:r>
      <w:r>
        <w:rPr>
          <w:rFonts w:hint="eastAsia"/>
          <w:sz w:val="24"/>
        </w:rPr>
        <w:t>9</w:t>
      </w:r>
      <w:r>
        <w:rPr>
          <w:rFonts w:hint="eastAsia"/>
          <w:sz w:val="24"/>
        </w:rPr>
        <w:t>号）规定的，在</w:t>
      </w:r>
      <w:r>
        <w:rPr>
          <w:rFonts w:hint="eastAsia"/>
          <w:sz w:val="24"/>
        </w:rPr>
        <w:t>2021</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日前，</w:t>
      </w:r>
      <w:proofErr w:type="gramStart"/>
      <w:r>
        <w:rPr>
          <w:rFonts w:hint="eastAsia"/>
          <w:sz w:val="24"/>
        </w:rPr>
        <w:t>不</w:t>
      </w:r>
      <w:proofErr w:type="gramEnd"/>
      <w:r>
        <w:rPr>
          <w:rFonts w:hint="eastAsia"/>
          <w:sz w:val="24"/>
        </w:rPr>
        <w:t>并入当年综合所得，以全年一次性奖金收入除以</w:t>
      </w:r>
      <w:r>
        <w:rPr>
          <w:rFonts w:hint="eastAsia"/>
          <w:sz w:val="24"/>
        </w:rPr>
        <w:t>12</w:t>
      </w:r>
      <w:r>
        <w:rPr>
          <w:rFonts w:hint="eastAsia"/>
          <w:sz w:val="24"/>
        </w:rPr>
        <w:t>个月得到的数额，按照本通知所附按月换算后的综合所得税率表（以下简称月度税率表），确定适用税率和速算扣除数，单独计算纳税。计算公式为：</w:t>
      </w:r>
    </w:p>
    <w:p w:rsidR="00644968" w:rsidRDefault="00644968" w:rsidP="00644968">
      <w:pPr>
        <w:spacing w:line="440" w:lineRule="exact"/>
        <w:ind w:firstLine="420"/>
        <w:rPr>
          <w:rFonts w:hint="eastAsia"/>
          <w:sz w:val="24"/>
        </w:rPr>
      </w:pPr>
      <w:r>
        <w:rPr>
          <w:rFonts w:hint="eastAsia"/>
          <w:sz w:val="24"/>
        </w:rPr>
        <w:t xml:space="preserve">　　应纳税额＝全年一次性奖金收入×适用税率－速算扣除数</w:t>
      </w:r>
    </w:p>
    <w:p w:rsidR="00644968" w:rsidRDefault="00644968" w:rsidP="00644968">
      <w:pPr>
        <w:spacing w:line="440" w:lineRule="exact"/>
        <w:ind w:firstLine="420"/>
        <w:rPr>
          <w:rFonts w:hint="eastAsia"/>
          <w:sz w:val="24"/>
        </w:rPr>
      </w:pPr>
      <w:r>
        <w:rPr>
          <w:rFonts w:hint="eastAsia"/>
          <w:sz w:val="24"/>
        </w:rPr>
        <w:t xml:space="preserve">　　居民个人取得全年一次性奖金，也可以选择并入当年综合所得计算纳税。</w:t>
      </w:r>
    </w:p>
    <w:p w:rsidR="00644968" w:rsidRDefault="00644968" w:rsidP="00644968">
      <w:pPr>
        <w:spacing w:line="440" w:lineRule="exact"/>
        <w:ind w:firstLine="420"/>
        <w:rPr>
          <w:rFonts w:hint="eastAsia"/>
          <w:sz w:val="24"/>
        </w:rPr>
      </w:pPr>
      <w:r>
        <w:rPr>
          <w:rFonts w:hint="eastAsia"/>
          <w:sz w:val="24"/>
        </w:rPr>
        <w:t xml:space="preserve">　　自</w:t>
      </w:r>
      <w:r>
        <w:rPr>
          <w:rFonts w:hint="eastAsia"/>
          <w:sz w:val="24"/>
        </w:rPr>
        <w:t>2022</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日起，居民个人取得全年一次性奖金，应并入当年综合所得计算缴纳个人所得税。</w:t>
      </w:r>
    </w:p>
    <w:p w:rsidR="00644968" w:rsidRDefault="00644968" w:rsidP="00644968">
      <w:pPr>
        <w:spacing w:beforeLines="200" w:before="624" w:afterLines="50" w:after="156" w:line="440" w:lineRule="exact"/>
        <w:jc w:val="center"/>
        <w:rPr>
          <w:rFonts w:ascii="黑体" w:eastAsia="黑体" w:hAnsi="黑体" w:cs="黑体" w:hint="eastAsia"/>
          <w:b/>
          <w:bCs/>
          <w:sz w:val="24"/>
        </w:rPr>
      </w:pPr>
      <w:r>
        <w:rPr>
          <w:rFonts w:ascii="黑体" w:eastAsia="黑体" w:hAnsi="黑体" w:cs="黑体" w:hint="eastAsia"/>
          <w:b/>
          <w:bCs/>
          <w:sz w:val="24"/>
        </w:rPr>
        <w:t>按月换算后的综合所得税率表</w:t>
      </w:r>
    </w:p>
    <w:tbl>
      <w:tblPr>
        <w:tblStyle w:val="a3"/>
        <w:tblW w:w="0" w:type="auto"/>
        <w:tblInd w:w="0" w:type="dxa"/>
        <w:tblLayout w:type="fixed"/>
        <w:tblLook w:val="0000" w:firstRow="0" w:lastRow="0" w:firstColumn="0" w:lastColumn="0" w:noHBand="0" w:noVBand="0"/>
      </w:tblPr>
      <w:tblGrid>
        <w:gridCol w:w="847"/>
        <w:gridCol w:w="3912"/>
        <w:gridCol w:w="1764"/>
        <w:gridCol w:w="1999"/>
      </w:tblGrid>
      <w:tr w:rsidR="00644968" w:rsidTr="00D43AFD">
        <w:tc>
          <w:tcPr>
            <w:tcW w:w="847" w:type="dxa"/>
            <w:vAlign w:val="center"/>
          </w:tcPr>
          <w:p w:rsidR="00644968" w:rsidRDefault="00644968" w:rsidP="00D43AFD">
            <w:pPr>
              <w:spacing w:line="440" w:lineRule="exact"/>
              <w:jc w:val="center"/>
              <w:rPr>
                <w:rFonts w:hint="eastAsia"/>
                <w:b/>
                <w:bCs/>
                <w:sz w:val="24"/>
              </w:rPr>
            </w:pPr>
            <w:r>
              <w:rPr>
                <w:rFonts w:hint="eastAsia"/>
                <w:b/>
                <w:bCs/>
                <w:sz w:val="24"/>
              </w:rPr>
              <w:t>级数</w:t>
            </w:r>
          </w:p>
        </w:tc>
        <w:tc>
          <w:tcPr>
            <w:tcW w:w="3912" w:type="dxa"/>
            <w:vAlign w:val="center"/>
          </w:tcPr>
          <w:p w:rsidR="00644968" w:rsidRDefault="00644968" w:rsidP="00D43AFD">
            <w:pPr>
              <w:spacing w:line="440" w:lineRule="exact"/>
              <w:jc w:val="center"/>
              <w:rPr>
                <w:rFonts w:hint="eastAsia"/>
                <w:b/>
                <w:bCs/>
                <w:sz w:val="24"/>
              </w:rPr>
            </w:pPr>
            <w:r>
              <w:rPr>
                <w:rFonts w:hint="eastAsia"/>
                <w:b/>
                <w:bCs/>
                <w:sz w:val="24"/>
              </w:rPr>
              <w:t>全月应纳税所得额</w:t>
            </w:r>
          </w:p>
        </w:tc>
        <w:tc>
          <w:tcPr>
            <w:tcW w:w="1764" w:type="dxa"/>
            <w:vAlign w:val="center"/>
          </w:tcPr>
          <w:p w:rsidR="00644968" w:rsidRDefault="00644968" w:rsidP="00D43AFD">
            <w:pPr>
              <w:spacing w:line="440" w:lineRule="exact"/>
              <w:jc w:val="center"/>
              <w:rPr>
                <w:rFonts w:hint="eastAsia"/>
                <w:b/>
                <w:bCs/>
                <w:sz w:val="24"/>
              </w:rPr>
            </w:pPr>
            <w:r>
              <w:rPr>
                <w:rFonts w:hint="eastAsia"/>
                <w:b/>
                <w:bCs/>
                <w:sz w:val="24"/>
              </w:rPr>
              <w:t>税率（</w:t>
            </w:r>
            <w:r>
              <w:rPr>
                <w:rFonts w:hint="eastAsia"/>
                <w:b/>
                <w:bCs/>
                <w:sz w:val="24"/>
              </w:rPr>
              <w:t>%</w:t>
            </w:r>
            <w:r>
              <w:rPr>
                <w:rFonts w:hint="eastAsia"/>
                <w:b/>
                <w:bCs/>
                <w:sz w:val="24"/>
              </w:rPr>
              <w:t>）</w:t>
            </w:r>
          </w:p>
        </w:tc>
        <w:tc>
          <w:tcPr>
            <w:tcW w:w="1999" w:type="dxa"/>
            <w:vAlign w:val="center"/>
          </w:tcPr>
          <w:p w:rsidR="00644968" w:rsidRDefault="00644968" w:rsidP="00D43AFD">
            <w:pPr>
              <w:spacing w:line="440" w:lineRule="exact"/>
              <w:jc w:val="center"/>
              <w:rPr>
                <w:rFonts w:hint="eastAsia"/>
                <w:b/>
                <w:bCs/>
                <w:sz w:val="24"/>
              </w:rPr>
            </w:pPr>
            <w:r>
              <w:rPr>
                <w:rFonts w:hint="eastAsia"/>
                <w:b/>
                <w:bCs/>
                <w:sz w:val="24"/>
              </w:rPr>
              <w:t>速算扣除数（元）</w:t>
            </w:r>
          </w:p>
        </w:tc>
      </w:tr>
      <w:tr w:rsidR="00644968" w:rsidTr="00D43AFD">
        <w:tc>
          <w:tcPr>
            <w:tcW w:w="847" w:type="dxa"/>
            <w:vAlign w:val="center"/>
          </w:tcPr>
          <w:p w:rsidR="00644968" w:rsidRDefault="00644968" w:rsidP="00D43AFD">
            <w:pPr>
              <w:spacing w:line="440" w:lineRule="exact"/>
              <w:jc w:val="center"/>
              <w:rPr>
                <w:rFonts w:hint="eastAsia"/>
                <w:sz w:val="24"/>
              </w:rPr>
            </w:pPr>
            <w:r>
              <w:rPr>
                <w:rFonts w:hint="eastAsia"/>
                <w:sz w:val="24"/>
              </w:rPr>
              <w:t>1</w:t>
            </w:r>
          </w:p>
        </w:tc>
        <w:tc>
          <w:tcPr>
            <w:tcW w:w="3912" w:type="dxa"/>
            <w:vAlign w:val="center"/>
          </w:tcPr>
          <w:p w:rsidR="00644968" w:rsidRDefault="00644968" w:rsidP="00D43AFD">
            <w:pPr>
              <w:spacing w:line="440" w:lineRule="exact"/>
              <w:jc w:val="center"/>
              <w:rPr>
                <w:rFonts w:hint="eastAsia"/>
                <w:sz w:val="24"/>
              </w:rPr>
            </w:pPr>
            <w:r>
              <w:rPr>
                <w:rFonts w:hint="eastAsia"/>
                <w:sz w:val="24"/>
              </w:rPr>
              <w:t>不超过</w:t>
            </w:r>
            <w:r>
              <w:rPr>
                <w:rFonts w:hint="eastAsia"/>
                <w:sz w:val="24"/>
              </w:rPr>
              <w:t>3000</w:t>
            </w:r>
            <w:r>
              <w:rPr>
                <w:rFonts w:hint="eastAsia"/>
                <w:sz w:val="24"/>
              </w:rPr>
              <w:t>元的</w:t>
            </w:r>
          </w:p>
        </w:tc>
        <w:tc>
          <w:tcPr>
            <w:tcW w:w="1764" w:type="dxa"/>
            <w:vAlign w:val="center"/>
          </w:tcPr>
          <w:p w:rsidR="00644968" w:rsidRDefault="00644968" w:rsidP="00D43AFD">
            <w:pPr>
              <w:spacing w:line="440" w:lineRule="exact"/>
              <w:jc w:val="center"/>
              <w:rPr>
                <w:rFonts w:hint="eastAsia"/>
                <w:sz w:val="24"/>
              </w:rPr>
            </w:pPr>
            <w:r>
              <w:rPr>
                <w:rFonts w:hint="eastAsia"/>
                <w:sz w:val="24"/>
              </w:rPr>
              <w:t>3</w:t>
            </w:r>
          </w:p>
        </w:tc>
        <w:tc>
          <w:tcPr>
            <w:tcW w:w="1999" w:type="dxa"/>
            <w:vAlign w:val="center"/>
          </w:tcPr>
          <w:p w:rsidR="00644968" w:rsidRDefault="00644968" w:rsidP="00D43AFD">
            <w:pPr>
              <w:spacing w:line="440" w:lineRule="exact"/>
              <w:jc w:val="center"/>
              <w:rPr>
                <w:rFonts w:hint="eastAsia"/>
                <w:sz w:val="24"/>
              </w:rPr>
            </w:pPr>
            <w:r>
              <w:rPr>
                <w:rFonts w:hint="eastAsia"/>
                <w:sz w:val="24"/>
              </w:rPr>
              <w:t>0</w:t>
            </w:r>
          </w:p>
        </w:tc>
      </w:tr>
      <w:tr w:rsidR="00644968" w:rsidTr="00D43AFD">
        <w:tc>
          <w:tcPr>
            <w:tcW w:w="847" w:type="dxa"/>
            <w:vAlign w:val="center"/>
          </w:tcPr>
          <w:p w:rsidR="00644968" w:rsidRDefault="00644968" w:rsidP="00D43AFD">
            <w:pPr>
              <w:spacing w:line="440" w:lineRule="exact"/>
              <w:jc w:val="center"/>
              <w:rPr>
                <w:rFonts w:hint="eastAsia"/>
                <w:sz w:val="24"/>
              </w:rPr>
            </w:pPr>
            <w:r>
              <w:rPr>
                <w:rFonts w:hint="eastAsia"/>
                <w:sz w:val="24"/>
              </w:rPr>
              <w:t>2</w:t>
            </w:r>
          </w:p>
        </w:tc>
        <w:tc>
          <w:tcPr>
            <w:tcW w:w="3912" w:type="dxa"/>
            <w:vAlign w:val="center"/>
          </w:tcPr>
          <w:p w:rsidR="00644968" w:rsidRDefault="00644968" w:rsidP="00D43AFD">
            <w:pPr>
              <w:spacing w:line="440" w:lineRule="exact"/>
              <w:jc w:val="center"/>
              <w:rPr>
                <w:rFonts w:hint="eastAsia"/>
                <w:sz w:val="24"/>
              </w:rPr>
            </w:pPr>
            <w:r>
              <w:rPr>
                <w:rFonts w:hint="eastAsia"/>
                <w:sz w:val="24"/>
              </w:rPr>
              <w:t>超过</w:t>
            </w:r>
            <w:r>
              <w:rPr>
                <w:rFonts w:hint="eastAsia"/>
                <w:sz w:val="24"/>
              </w:rPr>
              <w:t>3000</w:t>
            </w:r>
            <w:r>
              <w:rPr>
                <w:rFonts w:hint="eastAsia"/>
                <w:sz w:val="24"/>
              </w:rPr>
              <w:t>元至</w:t>
            </w:r>
            <w:r>
              <w:rPr>
                <w:rFonts w:hint="eastAsia"/>
                <w:sz w:val="24"/>
              </w:rPr>
              <w:t>12000</w:t>
            </w:r>
            <w:r>
              <w:rPr>
                <w:rFonts w:hint="eastAsia"/>
                <w:sz w:val="24"/>
              </w:rPr>
              <w:t>元的部分</w:t>
            </w:r>
          </w:p>
        </w:tc>
        <w:tc>
          <w:tcPr>
            <w:tcW w:w="1764" w:type="dxa"/>
            <w:vAlign w:val="center"/>
          </w:tcPr>
          <w:p w:rsidR="00644968" w:rsidRDefault="00644968" w:rsidP="00D43AFD">
            <w:pPr>
              <w:spacing w:line="440" w:lineRule="exact"/>
              <w:jc w:val="center"/>
              <w:rPr>
                <w:rFonts w:hint="eastAsia"/>
                <w:sz w:val="24"/>
              </w:rPr>
            </w:pPr>
            <w:r>
              <w:rPr>
                <w:rFonts w:hint="eastAsia"/>
                <w:sz w:val="24"/>
              </w:rPr>
              <w:t>10</w:t>
            </w:r>
          </w:p>
        </w:tc>
        <w:tc>
          <w:tcPr>
            <w:tcW w:w="1999" w:type="dxa"/>
            <w:vAlign w:val="center"/>
          </w:tcPr>
          <w:p w:rsidR="00644968" w:rsidRDefault="00644968" w:rsidP="00D43AFD">
            <w:pPr>
              <w:spacing w:line="440" w:lineRule="exact"/>
              <w:jc w:val="center"/>
              <w:rPr>
                <w:rFonts w:hint="eastAsia"/>
                <w:sz w:val="24"/>
              </w:rPr>
            </w:pPr>
            <w:r>
              <w:rPr>
                <w:rFonts w:hint="eastAsia"/>
                <w:sz w:val="24"/>
              </w:rPr>
              <w:t>210</w:t>
            </w:r>
          </w:p>
        </w:tc>
      </w:tr>
      <w:tr w:rsidR="00644968" w:rsidTr="00D43AFD">
        <w:tc>
          <w:tcPr>
            <w:tcW w:w="847" w:type="dxa"/>
            <w:vAlign w:val="center"/>
          </w:tcPr>
          <w:p w:rsidR="00644968" w:rsidRDefault="00644968" w:rsidP="00D43AFD">
            <w:pPr>
              <w:spacing w:line="440" w:lineRule="exact"/>
              <w:jc w:val="center"/>
              <w:rPr>
                <w:rFonts w:hint="eastAsia"/>
                <w:sz w:val="24"/>
              </w:rPr>
            </w:pPr>
            <w:r>
              <w:rPr>
                <w:rFonts w:hint="eastAsia"/>
                <w:sz w:val="24"/>
              </w:rPr>
              <w:t>3</w:t>
            </w:r>
          </w:p>
        </w:tc>
        <w:tc>
          <w:tcPr>
            <w:tcW w:w="3912" w:type="dxa"/>
            <w:vAlign w:val="center"/>
          </w:tcPr>
          <w:p w:rsidR="00644968" w:rsidRDefault="00644968" w:rsidP="00D43AFD">
            <w:pPr>
              <w:spacing w:line="440" w:lineRule="exact"/>
              <w:jc w:val="center"/>
              <w:rPr>
                <w:rFonts w:hint="eastAsia"/>
                <w:sz w:val="24"/>
              </w:rPr>
            </w:pPr>
            <w:r>
              <w:rPr>
                <w:rFonts w:hint="eastAsia"/>
                <w:sz w:val="24"/>
              </w:rPr>
              <w:t>超过</w:t>
            </w:r>
            <w:r>
              <w:rPr>
                <w:rFonts w:hint="eastAsia"/>
                <w:sz w:val="24"/>
              </w:rPr>
              <w:t>12000</w:t>
            </w:r>
            <w:r>
              <w:rPr>
                <w:rFonts w:hint="eastAsia"/>
                <w:sz w:val="24"/>
              </w:rPr>
              <w:t>元至</w:t>
            </w:r>
            <w:r>
              <w:rPr>
                <w:rFonts w:hint="eastAsia"/>
                <w:sz w:val="24"/>
              </w:rPr>
              <w:t>25000</w:t>
            </w:r>
            <w:r>
              <w:rPr>
                <w:rFonts w:hint="eastAsia"/>
                <w:sz w:val="24"/>
              </w:rPr>
              <w:t>元的部分</w:t>
            </w:r>
          </w:p>
        </w:tc>
        <w:tc>
          <w:tcPr>
            <w:tcW w:w="1764" w:type="dxa"/>
            <w:vAlign w:val="center"/>
          </w:tcPr>
          <w:p w:rsidR="00644968" w:rsidRDefault="00644968" w:rsidP="00D43AFD">
            <w:pPr>
              <w:spacing w:line="440" w:lineRule="exact"/>
              <w:jc w:val="center"/>
              <w:rPr>
                <w:rFonts w:hint="eastAsia"/>
                <w:sz w:val="24"/>
              </w:rPr>
            </w:pPr>
            <w:r>
              <w:rPr>
                <w:rFonts w:hint="eastAsia"/>
                <w:sz w:val="24"/>
              </w:rPr>
              <w:t>20</w:t>
            </w:r>
          </w:p>
        </w:tc>
        <w:tc>
          <w:tcPr>
            <w:tcW w:w="1999" w:type="dxa"/>
            <w:vAlign w:val="center"/>
          </w:tcPr>
          <w:p w:rsidR="00644968" w:rsidRDefault="00644968" w:rsidP="00D43AFD">
            <w:pPr>
              <w:spacing w:line="440" w:lineRule="exact"/>
              <w:jc w:val="center"/>
              <w:rPr>
                <w:rFonts w:hint="eastAsia"/>
                <w:sz w:val="24"/>
              </w:rPr>
            </w:pPr>
            <w:r>
              <w:rPr>
                <w:rFonts w:hint="eastAsia"/>
                <w:sz w:val="24"/>
              </w:rPr>
              <w:t>1410</w:t>
            </w:r>
          </w:p>
        </w:tc>
      </w:tr>
      <w:tr w:rsidR="00644968" w:rsidTr="00D43AFD">
        <w:tc>
          <w:tcPr>
            <w:tcW w:w="847" w:type="dxa"/>
            <w:vAlign w:val="center"/>
          </w:tcPr>
          <w:p w:rsidR="00644968" w:rsidRDefault="00644968" w:rsidP="00D43AFD">
            <w:pPr>
              <w:spacing w:line="440" w:lineRule="exact"/>
              <w:jc w:val="center"/>
              <w:rPr>
                <w:rFonts w:hint="eastAsia"/>
                <w:sz w:val="24"/>
              </w:rPr>
            </w:pPr>
            <w:r>
              <w:rPr>
                <w:rFonts w:hint="eastAsia"/>
                <w:sz w:val="24"/>
              </w:rPr>
              <w:t>4</w:t>
            </w:r>
          </w:p>
        </w:tc>
        <w:tc>
          <w:tcPr>
            <w:tcW w:w="3912" w:type="dxa"/>
            <w:vAlign w:val="center"/>
          </w:tcPr>
          <w:p w:rsidR="00644968" w:rsidRDefault="00644968" w:rsidP="00D43AFD">
            <w:pPr>
              <w:spacing w:line="440" w:lineRule="exact"/>
              <w:jc w:val="center"/>
              <w:rPr>
                <w:rFonts w:hint="eastAsia"/>
                <w:sz w:val="24"/>
              </w:rPr>
            </w:pPr>
            <w:r>
              <w:rPr>
                <w:rFonts w:hint="eastAsia"/>
                <w:sz w:val="24"/>
              </w:rPr>
              <w:t>超过</w:t>
            </w:r>
            <w:r>
              <w:rPr>
                <w:rFonts w:hint="eastAsia"/>
                <w:sz w:val="24"/>
              </w:rPr>
              <w:t>25000</w:t>
            </w:r>
            <w:r>
              <w:rPr>
                <w:rFonts w:hint="eastAsia"/>
                <w:sz w:val="24"/>
              </w:rPr>
              <w:t>元至</w:t>
            </w:r>
            <w:r>
              <w:rPr>
                <w:rFonts w:hint="eastAsia"/>
                <w:sz w:val="24"/>
              </w:rPr>
              <w:t>35000</w:t>
            </w:r>
            <w:r>
              <w:rPr>
                <w:rFonts w:hint="eastAsia"/>
                <w:sz w:val="24"/>
              </w:rPr>
              <w:t>元的部分</w:t>
            </w:r>
          </w:p>
        </w:tc>
        <w:tc>
          <w:tcPr>
            <w:tcW w:w="1764" w:type="dxa"/>
            <w:vAlign w:val="center"/>
          </w:tcPr>
          <w:p w:rsidR="00644968" w:rsidRDefault="00644968" w:rsidP="00D43AFD">
            <w:pPr>
              <w:spacing w:line="440" w:lineRule="exact"/>
              <w:jc w:val="center"/>
              <w:rPr>
                <w:rFonts w:hint="eastAsia"/>
                <w:sz w:val="24"/>
              </w:rPr>
            </w:pPr>
            <w:r>
              <w:rPr>
                <w:rFonts w:hint="eastAsia"/>
                <w:sz w:val="24"/>
              </w:rPr>
              <w:t>25</w:t>
            </w:r>
          </w:p>
        </w:tc>
        <w:tc>
          <w:tcPr>
            <w:tcW w:w="1999" w:type="dxa"/>
            <w:vAlign w:val="center"/>
          </w:tcPr>
          <w:p w:rsidR="00644968" w:rsidRDefault="00644968" w:rsidP="00D43AFD">
            <w:pPr>
              <w:spacing w:line="440" w:lineRule="exact"/>
              <w:jc w:val="center"/>
              <w:rPr>
                <w:rFonts w:hint="eastAsia"/>
                <w:sz w:val="24"/>
              </w:rPr>
            </w:pPr>
            <w:r>
              <w:rPr>
                <w:rFonts w:hint="eastAsia"/>
                <w:sz w:val="24"/>
              </w:rPr>
              <w:t>2660</w:t>
            </w:r>
          </w:p>
        </w:tc>
      </w:tr>
      <w:tr w:rsidR="00644968" w:rsidTr="00D43AFD">
        <w:tc>
          <w:tcPr>
            <w:tcW w:w="847" w:type="dxa"/>
            <w:vAlign w:val="center"/>
          </w:tcPr>
          <w:p w:rsidR="00644968" w:rsidRDefault="00644968" w:rsidP="00D43AFD">
            <w:pPr>
              <w:spacing w:line="440" w:lineRule="exact"/>
              <w:jc w:val="center"/>
              <w:rPr>
                <w:rFonts w:hint="eastAsia"/>
                <w:sz w:val="24"/>
              </w:rPr>
            </w:pPr>
            <w:r>
              <w:rPr>
                <w:rFonts w:hint="eastAsia"/>
                <w:sz w:val="24"/>
              </w:rPr>
              <w:t>5</w:t>
            </w:r>
          </w:p>
        </w:tc>
        <w:tc>
          <w:tcPr>
            <w:tcW w:w="3912" w:type="dxa"/>
            <w:vAlign w:val="center"/>
          </w:tcPr>
          <w:p w:rsidR="00644968" w:rsidRDefault="00644968" w:rsidP="00D43AFD">
            <w:pPr>
              <w:spacing w:line="440" w:lineRule="exact"/>
              <w:jc w:val="center"/>
              <w:rPr>
                <w:rFonts w:hint="eastAsia"/>
                <w:sz w:val="24"/>
              </w:rPr>
            </w:pPr>
            <w:r>
              <w:rPr>
                <w:rFonts w:hint="eastAsia"/>
                <w:sz w:val="24"/>
              </w:rPr>
              <w:t>超过</w:t>
            </w:r>
            <w:r>
              <w:rPr>
                <w:rFonts w:hint="eastAsia"/>
                <w:sz w:val="24"/>
              </w:rPr>
              <w:t>35000</w:t>
            </w:r>
            <w:r>
              <w:rPr>
                <w:rFonts w:hint="eastAsia"/>
                <w:sz w:val="24"/>
              </w:rPr>
              <w:t>元至</w:t>
            </w:r>
            <w:r>
              <w:rPr>
                <w:rFonts w:hint="eastAsia"/>
                <w:sz w:val="24"/>
              </w:rPr>
              <w:t>55000</w:t>
            </w:r>
            <w:r>
              <w:rPr>
                <w:rFonts w:hint="eastAsia"/>
                <w:sz w:val="24"/>
              </w:rPr>
              <w:t>元的部分</w:t>
            </w:r>
          </w:p>
        </w:tc>
        <w:tc>
          <w:tcPr>
            <w:tcW w:w="1764" w:type="dxa"/>
            <w:vAlign w:val="center"/>
          </w:tcPr>
          <w:p w:rsidR="00644968" w:rsidRDefault="00644968" w:rsidP="00D43AFD">
            <w:pPr>
              <w:spacing w:line="440" w:lineRule="exact"/>
              <w:jc w:val="center"/>
              <w:rPr>
                <w:rFonts w:hint="eastAsia"/>
                <w:sz w:val="24"/>
              </w:rPr>
            </w:pPr>
            <w:r>
              <w:rPr>
                <w:rFonts w:hint="eastAsia"/>
                <w:sz w:val="24"/>
              </w:rPr>
              <w:t>30</w:t>
            </w:r>
          </w:p>
        </w:tc>
        <w:tc>
          <w:tcPr>
            <w:tcW w:w="1999" w:type="dxa"/>
            <w:vAlign w:val="center"/>
          </w:tcPr>
          <w:p w:rsidR="00644968" w:rsidRDefault="00644968" w:rsidP="00D43AFD">
            <w:pPr>
              <w:spacing w:line="440" w:lineRule="exact"/>
              <w:jc w:val="center"/>
              <w:rPr>
                <w:rFonts w:hint="eastAsia"/>
                <w:sz w:val="24"/>
              </w:rPr>
            </w:pPr>
            <w:r>
              <w:rPr>
                <w:rFonts w:hint="eastAsia"/>
                <w:sz w:val="24"/>
              </w:rPr>
              <w:t>4410</w:t>
            </w:r>
          </w:p>
        </w:tc>
      </w:tr>
      <w:tr w:rsidR="00644968" w:rsidTr="00D43AFD">
        <w:tc>
          <w:tcPr>
            <w:tcW w:w="847" w:type="dxa"/>
            <w:vAlign w:val="center"/>
          </w:tcPr>
          <w:p w:rsidR="00644968" w:rsidRDefault="00644968" w:rsidP="00D43AFD">
            <w:pPr>
              <w:spacing w:line="440" w:lineRule="exact"/>
              <w:jc w:val="center"/>
              <w:rPr>
                <w:rFonts w:hint="eastAsia"/>
                <w:sz w:val="24"/>
              </w:rPr>
            </w:pPr>
            <w:r>
              <w:rPr>
                <w:rFonts w:hint="eastAsia"/>
                <w:sz w:val="24"/>
              </w:rPr>
              <w:t>6</w:t>
            </w:r>
          </w:p>
        </w:tc>
        <w:tc>
          <w:tcPr>
            <w:tcW w:w="3912" w:type="dxa"/>
            <w:vAlign w:val="center"/>
          </w:tcPr>
          <w:p w:rsidR="00644968" w:rsidRDefault="00644968" w:rsidP="00D43AFD">
            <w:pPr>
              <w:spacing w:line="440" w:lineRule="exact"/>
              <w:jc w:val="center"/>
              <w:rPr>
                <w:rFonts w:hint="eastAsia"/>
                <w:sz w:val="24"/>
              </w:rPr>
            </w:pPr>
            <w:r>
              <w:rPr>
                <w:rFonts w:hint="eastAsia"/>
                <w:sz w:val="24"/>
              </w:rPr>
              <w:t>超过</w:t>
            </w:r>
            <w:r>
              <w:rPr>
                <w:rFonts w:hint="eastAsia"/>
                <w:sz w:val="24"/>
              </w:rPr>
              <w:t>55000</w:t>
            </w:r>
            <w:r>
              <w:rPr>
                <w:rFonts w:hint="eastAsia"/>
                <w:sz w:val="24"/>
              </w:rPr>
              <w:t>元至</w:t>
            </w:r>
            <w:r>
              <w:rPr>
                <w:rFonts w:hint="eastAsia"/>
                <w:sz w:val="24"/>
              </w:rPr>
              <w:t>80000</w:t>
            </w:r>
            <w:r>
              <w:rPr>
                <w:rFonts w:hint="eastAsia"/>
                <w:sz w:val="24"/>
              </w:rPr>
              <w:t>元的部分</w:t>
            </w:r>
          </w:p>
        </w:tc>
        <w:tc>
          <w:tcPr>
            <w:tcW w:w="1764" w:type="dxa"/>
            <w:vAlign w:val="center"/>
          </w:tcPr>
          <w:p w:rsidR="00644968" w:rsidRDefault="00644968" w:rsidP="00D43AFD">
            <w:pPr>
              <w:spacing w:line="440" w:lineRule="exact"/>
              <w:jc w:val="center"/>
              <w:rPr>
                <w:rFonts w:hint="eastAsia"/>
                <w:sz w:val="24"/>
              </w:rPr>
            </w:pPr>
            <w:r>
              <w:rPr>
                <w:rFonts w:hint="eastAsia"/>
                <w:sz w:val="24"/>
              </w:rPr>
              <w:t>35</w:t>
            </w:r>
          </w:p>
        </w:tc>
        <w:tc>
          <w:tcPr>
            <w:tcW w:w="1999" w:type="dxa"/>
            <w:vAlign w:val="center"/>
          </w:tcPr>
          <w:p w:rsidR="00644968" w:rsidRDefault="00644968" w:rsidP="00D43AFD">
            <w:pPr>
              <w:spacing w:line="440" w:lineRule="exact"/>
              <w:jc w:val="center"/>
              <w:rPr>
                <w:rFonts w:hint="eastAsia"/>
                <w:sz w:val="24"/>
              </w:rPr>
            </w:pPr>
            <w:r>
              <w:rPr>
                <w:rFonts w:hint="eastAsia"/>
                <w:sz w:val="24"/>
              </w:rPr>
              <w:t>7160</w:t>
            </w:r>
          </w:p>
        </w:tc>
      </w:tr>
      <w:tr w:rsidR="00644968" w:rsidTr="00D43AFD">
        <w:tc>
          <w:tcPr>
            <w:tcW w:w="847" w:type="dxa"/>
            <w:vAlign w:val="center"/>
          </w:tcPr>
          <w:p w:rsidR="00644968" w:rsidRDefault="00644968" w:rsidP="00D43AFD">
            <w:pPr>
              <w:spacing w:line="440" w:lineRule="exact"/>
              <w:jc w:val="center"/>
              <w:rPr>
                <w:rFonts w:hint="eastAsia"/>
                <w:sz w:val="24"/>
              </w:rPr>
            </w:pPr>
            <w:r>
              <w:rPr>
                <w:rFonts w:hint="eastAsia"/>
                <w:sz w:val="24"/>
              </w:rPr>
              <w:t>7</w:t>
            </w:r>
          </w:p>
        </w:tc>
        <w:tc>
          <w:tcPr>
            <w:tcW w:w="3912" w:type="dxa"/>
            <w:vAlign w:val="center"/>
          </w:tcPr>
          <w:p w:rsidR="00644968" w:rsidRDefault="00644968" w:rsidP="00D43AFD">
            <w:pPr>
              <w:spacing w:line="440" w:lineRule="exact"/>
              <w:jc w:val="center"/>
              <w:rPr>
                <w:rFonts w:hint="eastAsia"/>
                <w:sz w:val="24"/>
              </w:rPr>
            </w:pPr>
            <w:r>
              <w:rPr>
                <w:rFonts w:hint="eastAsia"/>
                <w:sz w:val="24"/>
              </w:rPr>
              <w:t>超过</w:t>
            </w:r>
            <w:r>
              <w:rPr>
                <w:rFonts w:hint="eastAsia"/>
                <w:sz w:val="24"/>
              </w:rPr>
              <w:t>80000</w:t>
            </w:r>
            <w:r>
              <w:rPr>
                <w:rFonts w:hint="eastAsia"/>
                <w:sz w:val="24"/>
              </w:rPr>
              <w:t>元的部分</w:t>
            </w:r>
          </w:p>
        </w:tc>
        <w:tc>
          <w:tcPr>
            <w:tcW w:w="1764" w:type="dxa"/>
            <w:vAlign w:val="center"/>
          </w:tcPr>
          <w:p w:rsidR="00644968" w:rsidRDefault="00644968" w:rsidP="00D43AFD">
            <w:pPr>
              <w:spacing w:line="440" w:lineRule="exact"/>
              <w:jc w:val="center"/>
              <w:rPr>
                <w:rFonts w:hint="eastAsia"/>
                <w:sz w:val="24"/>
              </w:rPr>
            </w:pPr>
            <w:r>
              <w:rPr>
                <w:rFonts w:hint="eastAsia"/>
                <w:sz w:val="24"/>
              </w:rPr>
              <w:t>45</w:t>
            </w:r>
          </w:p>
        </w:tc>
        <w:tc>
          <w:tcPr>
            <w:tcW w:w="1999" w:type="dxa"/>
            <w:vAlign w:val="center"/>
          </w:tcPr>
          <w:p w:rsidR="00644968" w:rsidRDefault="00644968" w:rsidP="00D43AFD">
            <w:pPr>
              <w:spacing w:line="440" w:lineRule="exact"/>
              <w:jc w:val="center"/>
              <w:rPr>
                <w:rFonts w:hint="eastAsia"/>
                <w:sz w:val="24"/>
              </w:rPr>
            </w:pPr>
            <w:r>
              <w:rPr>
                <w:rFonts w:hint="eastAsia"/>
                <w:sz w:val="24"/>
              </w:rPr>
              <w:t>15160</w:t>
            </w:r>
          </w:p>
        </w:tc>
      </w:tr>
    </w:tbl>
    <w:p w:rsidR="00644968" w:rsidRDefault="00644968" w:rsidP="00644968">
      <w:pPr>
        <w:spacing w:line="440" w:lineRule="exact"/>
        <w:rPr>
          <w:rFonts w:hint="eastAsia"/>
          <w:sz w:val="24"/>
        </w:rPr>
      </w:pPr>
    </w:p>
    <w:p w:rsidR="00CC4178" w:rsidRDefault="00644968"/>
    <w:sectPr w:rsidR="00CC417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68"/>
    <w:rsid w:val="00644968"/>
    <w:rsid w:val="00753C13"/>
    <w:rsid w:val="00AA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204BC-3035-4A53-B40F-A146B6A2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96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496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wei</dc:creator>
  <cp:keywords/>
  <dc:description/>
  <cp:lastModifiedBy>wang wei</cp:lastModifiedBy>
  <cp:revision>1</cp:revision>
  <dcterms:created xsi:type="dcterms:W3CDTF">2019-01-15T07:03:00Z</dcterms:created>
  <dcterms:modified xsi:type="dcterms:W3CDTF">2019-01-15T07:03:00Z</dcterms:modified>
</cp:coreProperties>
</file>